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EB" w:rsidRDefault="00B21CEB" w:rsidP="00B21CEB">
      <w:pPr>
        <w:shd w:val="clear" w:color="auto" w:fill="FFFFFF"/>
        <w:spacing w:after="15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29C"/>
          <w:kern w:val="36"/>
          <w:sz w:val="24"/>
          <w:szCs w:val="24"/>
        </w:rPr>
      </w:pPr>
    </w:p>
    <w:p w:rsidR="00B21CEB" w:rsidRPr="00B21CEB" w:rsidRDefault="00B21CEB" w:rsidP="00B21CEB">
      <w:pPr>
        <w:shd w:val="clear" w:color="auto" w:fill="FFFFFF"/>
        <w:spacing w:after="15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29C"/>
          <w:kern w:val="36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529C"/>
          <w:kern w:val="36"/>
          <w:sz w:val="24"/>
          <w:szCs w:val="24"/>
        </w:rPr>
        <w:t>Управление финансами организации</w:t>
      </w:r>
      <w:r>
        <w:rPr>
          <w:rFonts w:ascii="Arial" w:eastAsia="Times New Roman" w:hAnsi="Arial" w:cs="Arial"/>
          <w:b/>
          <w:bCs/>
          <w:color w:val="00529C"/>
          <w:kern w:val="36"/>
          <w:sz w:val="24"/>
          <w:szCs w:val="24"/>
        </w:rPr>
        <w:t xml:space="preserve"> (80ч.)</w:t>
      </w:r>
    </w:p>
    <w:p w:rsidR="00B21CEB" w:rsidRPr="00B21CEB" w:rsidRDefault="00B21CEB" w:rsidP="00B21CEB">
      <w:pPr>
        <w:shd w:val="clear" w:color="auto" w:fill="FFFFFF"/>
        <w:spacing w:before="240" w:after="240" w:line="336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19"/>
          <w:szCs w:val="19"/>
        </w:rPr>
        <w:t>Продолжительность курса — 80 академических часов</w:t>
      </w:r>
      <w:r>
        <w:rPr>
          <w:rFonts w:ascii="Arial" w:eastAsia="Times New Roman" w:hAnsi="Arial" w:cs="Arial"/>
          <w:color w:val="000000"/>
          <w:sz w:val="19"/>
          <w:szCs w:val="19"/>
        </w:rPr>
        <w:t>.</w:t>
      </w:r>
      <w:r w:rsidRPr="00B21CE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B21CEB" w:rsidRPr="00B21CEB" w:rsidRDefault="00B21CEB" w:rsidP="00B21CEB">
      <w:pPr>
        <w:shd w:val="clear" w:color="auto" w:fill="FFFFFF"/>
        <w:spacing w:before="240" w:after="240" w:line="336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19"/>
          <w:szCs w:val="19"/>
        </w:rPr>
        <w:t xml:space="preserve">Цель программы — познакомить слушателей с различными аспектами управления финансовыми ресурсами компании, помочь им в освоении методов управления финансами в конкретных условиях бизнеса, а также в разработке предложений в заданных сценарных действиях развития. </w:t>
      </w:r>
    </w:p>
    <w:p w:rsidR="00B21CEB" w:rsidRPr="00B21CEB" w:rsidRDefault="00B21CEB" w:rsidP="00B21CEB">
      <w:pPr>
        <w:pBdr>
          <w:bottom w:val="single" w:sz="6" w:space="6" w:color="EAEAEA"/>
        </w:pBdr>
        <w:shd w:val="clear" w:color="auto" w:fill="FFFFFF"/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Управление финансами и финансовое планирование организации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1. Финансирование бизнеса и финансовые рынки 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Источники </w:t>
      </w:r>
      <w:proofErr w:type="gramStart"/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финансовых</w:t>
      </w:r>
      <w:proofErr w:type="gramEnd"/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ресурсов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CEB">
        <w:rPr>
          <w:rFonts w:ascii="Arial" w:eastAsia="Times New Roman" w:hAnsi="Arial" w:cs="Arial"/>
          <w:color w:val="000000"/>
          <w:sz w:val="20"/>
          <w:szCs w:val="20"/>
        </w:rPr>
        <w:t xml:space="preserve">Источники формирования </w:t>
      </w:r>
      <w:proofErr w:type="gramStart"/>
      <w:r w:rsidRPr="00B21CEB">
        <w:rPr>
          <w:rFonts w:ascii="Arial" w:eastAsia="Times New Roman" w:hAnsi="Arial" w:cs="Arial"/>
          <w:color w:val="000000"/>
          <w:sz w:val="20"/>
          <w:szCs w:val="20"/>
        </w:rPr>
        <w:t>финансовых</w:t>
      </w:r>
      <w:proofErr w:type="gramEnd"/>
      <w:r w:rsidRPr="00B21CEB">
        <w:rPr>
          <w:rFonts w:ascii="Arial" w:eastAsia="Times New Roman" w:hAnsi="Arial" w:cs="Arial"/>
          <w:color w:val="000000"/>
          <w:sz w:val="20"/>
          <w:szCs w:val="20"/>
        </w:rPr>
        <w:t xml:space="preserve"> ресурсов. Собственный и привлеченный капитал, формы привлечения </w:t>
      </w:r>
      <w:proofErr w:type="gramStart"/>
      <w:r w:rsidRPr="00B21CEB">
        <w:rPr>
          <w:rFonts w:ascii="Arial" w:eastAsia="Times New Roman" w:hAnsi="Arial" w:cs="Arial"/>
          <w:color w:val="000000"/>
          <w:sz w:val="20"/>
          <w:szCs w:val="20"/>
        </w:rPr>
        <w:t>дополнительных</w:t>
      </w:r>
      <w:proofErr w:type="gramEnd"/>
      <w:r w:rsidRPr="00B21CEB">
        <w:rPr>
          <w:rFonts w:ascii="Arial" w:eastAsia="Times New Roman" w:hAnsi="Arial" w:cs="Arial"/>
          <w:color w:val="000000"/>
          <w:sz w:val="20"/>
          <w:szCs w:val="20"/>
        </w:rPr>
        <w:t xml:space="preserve"> финансовых ресурсов, формы привлечения дополнительных финансовых ресурсов. Организация финансовых потоков, формирование долг</w:t>
      </w:r>
      <w:proofErr w:type="gramStart"/>
      <w:r w:rsidRPr="00B21CEB">
        <w:rPr>
          <w:rFonts w:ascii="Arial" w:eastAsia="Times New Roman" w:hAnsi="Arial" w:cs="Arial"/>
          <w:color w:val="000000"/>
          <w:sz w:val="20"/>
          <w:szCs w:val="20"/>
        </w:rPr>
        <w:t>о-</w:t>
      </w:r>
      <w:proofErr w:type="gramEnd"/>
      <w:r w:rsidRPr="00B21CEB">
        <w:rPr>
          <w:rFonts w:ascii="Arial" w:eastAsia="Times New Roman" w:hAnsi="Arial" w:cs="Arial"/>
          <w:color w:val="000000"/>
          <w:sz w:val="20"/>
          <w:szCs w:val="20"/>
        </w:rPr>
        <w:t xml:space="preserve"> и краткосрочной финансовой политики.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Финансовые рынки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CEB">
        <w:rPr>
          <w:rFonts w:ascii="Arial" w:eastAsia="Times New Roman" w:hAnsi="Arial" w:cs="Arial"/>
          <w:color w:val="000000"/>
          <w:sz w:val="20"/>
          <w:szCs w:val="20"/>
        </w:rPr>
        <w:t>Финансовые рынки: классификация, участники, регуляторы, инструменты, механизмы функционирования. Характеристика рынка капитала.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Финансовые инструменты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CEB">
        <w:rPr>
          <w:rFonts w:ascii="Arial" w:eastAsia="Times New Roman" w:hAnsi="Arial" w:cs="Arial"/>
          <w:color w:val="000000"/>
          <w:sz w:val="20"/>
          <w:szCs w:val="20"/>
        </w:rPr>
        <w:t>Финансовые инструменты: облигации, обычные акции, привилегированные акции, производные финансовые инструменты (</w:t>
      </w:r>
      <w:proofErr w:type="spellStart"/>
      <w:r w:rsidRPr="00B21CEB">
        <w:rPr>
          <w:rFonts w:ascii="Arial" w:eastAsia="Times New Roman" w:hAnsi="Arial" w:cs="Arial"/>
          <w:color w:val="000000"/>
          <w:sz w:val="20"/>
          <w:szCs w:val="20"/>
        </w:rPr>
        <w:t>derivatives</w:t>
      </w:r>
      <w:proofErr w:type="spellEnd"/>
      <w:r w:rsidRPr="00B21CEB">
        <w:rPr>
          <w:rFonts w:ascii="Arial" w:eastAsia="Times New Roman" w:hAnsi="Arial" w:cs="Arial"/>
          <w:color w:val="000000"/>
          <w:sz w:val="20"/>
          <w:szCs w:val="20"/>
        </w:rPr>
        <w:t>). Оценка риска и доходности финансовых вложений.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2. Финансовое планирование деятельности 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Системы финансового планирования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CEB">
        <w:rPr>
          <w:rFonts w:ascii="Arial" w:eastAsia="Times New Roman" w:hAnsi="Arial" w:cs="Arial"/>
          <w:color w:val="000000"/>
          <w:sz w:val="20"/>
          <w:szCs w:val="20"/>
        </w:rPr>
        <w:t>Необходимость, задачи и принципы финансового планирования. Системы финансового планирования. Этапы и целевые установки стратегического планирования. Управление стратегией устойчивого роста.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Бюджетирование</w:t>
      </w:r>
      <w:proofErr w:type="spellEnd"/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бизнес-процессов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21CEB">
        <w:rPr>
          <w:rFonts w:ascii="Arial" w:eastAsia="Times New Roman" w:hAnsi="Arial" w:cs="Arial"/>
          <w:color w:val="000000"/>
          <w:sz w:val="20"/>
          <w:szCs w:val="20"/>
        </w:rPr>
        <w:t>Бюджетирование</w:t>
      </w:r>
      <w:proofErr w:type="spellEnd"/>
      <w:r w:rsidRPr="00B21CEB">
        <w:rPr>
          <w:rFonts w:ascii="Arial" w:eastAsia="Times New Roman" w:hAnsi="Arial" w:cs="Arial"/>
          <w:color w:val="000000"/>
          <w:sz w:val="20"/>
          <w:szCs w:val="20"/>
        </w:rPr>
        <w:t xml:space="preserve"> и бюджетный процесс, этапы и процедуры. Бюджеты как форма управления доходами и расходами организации. Система бюджетов: операционные, инвестиционные, финансовые бюджеты. Ключевые бюджеты: бюджет доходов и расходов, бюджет движения денежных средств, баланс.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46"/>
          <w:szCs w:val="46"/>
        </w:rPr>
      </w:pPr>
      <w:r w:rsidRPr="00B21CEB">
        <w:rPr>
          <w:rFonts w:ascii="Arial" w:eastAsia="Times New Roman" w:hAnsi="Arial" w:cs="Arial"/>
          <w:b/>
          <w:bCs/>
          <w:color w:val="555555"/>
          <w:sz w:val="24"/>
          <w:szCs w:val="24"/>
        </w:rPr>
        <w:t>3. Управление оборотным капиталом</w:t>
      </w:r>
      <w:r w:rsidRPr="00B21CEB">
        <w:rPr>
          <w:rFonts w:ascii="Arial" w:eastAsia="Times New Roman" w:hAnsi="Arial" w:cs="Arial"/>
          <w:b/>
          <w:bCs/>
          <w:color w:val="555555"/>
          <w:sz w:val="46"/>
          <w:szCs w:val="46"/>
        </w:rPr>
        <w:t xml:space="preserve"> 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Стратегия формирования оборотного капитала организации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19"/>
          <w:szCs w:val="19"/>
        </w:rPr>
        <w:t>Управление оборотными средствами и их значение для бизнеса организации. Стратегии финансирования оборотных средств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Управление запасами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19"/>
          <w:szCs w:val="19"/>
        </w:rPr>
        <w:t>Политика управления производственными запасами. Применение системы учета запасов, методов и приемов управления запасами.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Управление дебиторской задолженностью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19"/>
          <w:szCs w:val="19"/>
        </w:rPr>
        <w:t>Политика управления дебиторской задолженностью. Кредитная политика организации и факторы, влияющие на выделение кредитных сре</w:t>
      </w:r>
      <w:proofErr w:type="gramStart"/>
      <w:r w:rsidRPr="00B21CEB">
        <w:rPr>
          <w:rFonts w:ascii="Arial" w:eastAsia="Times New Roman" w:hAnsi="Arial" w:cs="Arial"/>
          <w:color w:val="000000"/>
          <w:sz w:val="19"/>
          <w:szCs w:val="19"/>
        </w:rPr>
        <w:t>дств кл</w:t>
      </w:r>
      <w:proofErr w:type="gramEnd"/>
      <w:r w:rsidRPr="00B21CEB">
        <w:rPr>
          <w:rFonts w:ascii="Arial" w:eastAsia="Times New Roman" w:hAnsi="Arial" w:cs="Arial"/>
          <w:color w:val="000000"/>
          <w:sz w:val="19"/>
          <w:szCs w:val="19"/>
        </w:rPr>
        <w:t>иентам. Методы управления дебиторской задолженностью.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Управление денежными средствами и денежными потоками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Политика управления денежными средствами и их эквивалентами. Виды денежных потоков: прогнозирование и управление денежными потоками. Временная ценность денег: </w:t>
      </w:r>
      <w:proofErr w:type="spellStart"/>
      <w:r w:rsidRPr="00B21CEB">
        <w:rPr>
          <w:rFonts w:ascii="Arial" w:eastAsia="Times New Roman" w:hAnsi="Arial" w:cs="Arial"/>
          <w:color w:val="000000"/>
          <w:sz w:val="19"/>
          <w:szCs w:val="19"/>
        </w:rPr>
        <w:t>компаундинг</w:t>
      </w:r>
      <w:proofErr w:type="spellEnd"/>
      <w:r w:rsidRPr="00B21CEB">
        <w:rPr>
          <w:rFonts w:ascii="Arial" w:eastAsia="Times New Roman" w:hAnsi="Arial" w:cs="Arial"/>
          <w:color w:val="000000"/>
          <w:sz w:val="19"/>
          <w:szCs w:val="19"/>
        </w:rPr>
        <w:t xml:space="preserve"> и дисконтирование.</w:t>
      </w:r>
    </w:p>
    <w:p w:rsidR="00B21CEB" w:rsidRPr="00B21CEB" w:rsidRDefault="00B21CEB" w:rsidP="00B21CEB">
      <w:pPr>
        <w:pBdr>
          <w:bottom w:val="single" w:sz="6" w:space="6" w:color="EAEAEA"/>
        </w:pBdr>
        <w:shd w:val="clear" w:color="auto" w:fill="FFFFFF"/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Управление финансовыми результатами деятельности и развитием организации 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4. Управление финансовыми результатами 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Анализ финансовых результатов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19"/>
          <w:szCs w:val="19"/>
        </w:rPr>
        <w:t>Содержание финансовых результатов: выручка, экономическая, маржинальная и бухгалтерская прибыль. Точка безубыточности. Операционный рычаг. Анализ и интерпретация показателей динамики финансовых результатов организации.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Управление эффективностью деятельности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19"/>
          <w:szCs w:val="19"/>
        </w:rPr>
        <w:t>Понятие управления эффективностью (</w:t>
      </w:r>
      <w:proofErr w:type="spellStart"/>
      <w:r w:rsidRPr="00B21CEB">
        <w:rPr>
          <w:rFonts w:ascii="Arial" w:eastAsia="Times New Roman" w:hAnsi="Arial" w:cs="Arial"/>
          <w:color w:val="000000"/>
          <w:sz w:val="19"/>
          <w:szCs w:val="19"/>
        </w:rPr>
        <w:t>Performance</w:t>
      </w:r>
      <w:proofErr w:type="spellEnd"/>
      <w:r w:rsidRPr="00B21CE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B21CEB">
        <w:rPr>
          <w:rFonts w:ascii="Arial" w:eastAsia="Times New Roman" w:hAnsi="Arial" w:cs="Arial"/>
          <w:color w:val="000000"/>
          <w:sz w:val="19"/>
          <w:szCs w:val="19"/>
        </w:rPr>
        <w:t>Management</w:t>
      </w:r>
      <w:proofErr w:type="spellEnd"/>
      <w:r w:rsidRPr="00B21CEB">
        <w:rPr>
          <w:rFonts w:ascii="Arial" w:eastAsia="Times New Roman" w:hAnsi="Arial" w:cs="Arial"/>
          <w:color w:val="000000"/>
          <w:sz w:val="19"/>
          <w:szCs w:val="19"/>
        </w:rPr>
        <w:t>). Критерии эффективности деятельности организации.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21CE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Практическое занятие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19"/>
          <w:szCs w:val="19"/>
        </w:rPr>
        <w:t>Методика анализа и оценки финансовых результатов организации по конкретным данным.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5. Управление инвестиционной политикой организации 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Инвестиционная политика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19"/>
          <w:szCs w:val="19"/>
        </w:rPr>
        <w:t>Инвестиционный процесс. Формы инвестиций. Система принятия решений о </w:t>
      </w:r>
      <w:proofErr w:type="gramStart"/>
      <w:r w:rsidRPr="00B21CEB">
        <w:rPr>
          <w:rFonts w:ascii="Arial" w:eastAsia="Times New Roman" w:hAnsi="Arial" w:cs="Arial"/>
          <w:color w:val="000000"/>
          <w:sz w:val="19"/>
          <w:szCs w:val="19"/>
        </w:rPr>
        <w:t>капиталовложениях</w:t>
      </w:r>
      <w:proofErr w:type="gramEnd"/>
      <w:r w:rsidRPr="00B21CEB">
        <w:rPr>
          <w:rFonts w:ascii="Arial" w:eastAsia="Times New Roman" w:hAnsi="Arial" w:cs="Arial"/>
          <w:color w:val="000000"/>
          <w:sz w:val="19"/>
          <w:szCs w:val="19"/>
        </w:rPr>
        <w:t xml:space="preserve"> в организации. Планирование долгосрочных инвестиций. Формы и цели реального инвестирования организации.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Инвестиционный анализ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19"/>
          <w:szCs w:val="19"/>
        </w:rPr>
        <w:t>Модель инвестиционного анализа. Оценка эффективности реальных и финансовых инвестиций. Критерии оценки инвестиционных проектов. Методика дисконтирования денежных потоков. Прогноз денежных потоков по инвестиционной деятельности. Интерпретация результатов инвестиционных проектов с использованием комплексных методов оценки инвестиций. Формирование инвестиционного портфеля.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6. Управление капиталом и финансовыми рисками 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Управление капиталом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CEB">
        <w:rPr>
          <w:rFonts w:ascii="Arial" w:eastAsia="Times New Roman" w:hAnsi="Arial" w:cs="Arial"/>
          <w:color w:val="000000"/>
          <w:sz w:val="20"/>
          <w:szCs w:val="20"/>
        </w:rPr>
        <w:t xml:space="preserve">Модели оптимизации объемов потребности в финансовых ресурсах организации. Модели управления источниками финансирования. Цена и стоимость видов капитала. Методика расчета стоимости отдельных видов капитала. Средневзвешенная стоимость капитала. Методы оптимизации структуры капитала. Финансовый </w:t>
      </w:r>
      <w:proofErr w:type="spellStart"/>
      <w:r w:rsidRPr="00B21CEB">
        <w:rPr>
          <w:rFonts w:ascii="Arial" w:eastAsia="Times New Roman" w:hAnsi="Arial" w:cs="Arial"/>
          <w:color w:val="000000"/>
          <w:sz w:val="20"/>
          <w:szCs w:val="20"/>
        </w:rPr>
        <w:t>леверидж</w:t>
      </w:r>
      <w:proofErr w:type="spellEnd"/>
      <w:r w:rsidRPr="00B21CE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Управление финансовыми рисками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B21CEB">
        <w:rPr>
          <w:rFonts w:ascii="Arial" w:eastAsia="Times New Roman" w:hAnsi="Arial" w:cs="Arial"/>
          <w:color w:val="000000"/>
          <w:sz w:val="20"/>
          <w:szCs w:val="20"/>
        </w:rPr>
        <w:t>Идентификация финансовых</w:t>
      </w:r>
      <w:r w:rsidRPr="00B21CEB">
        <w:rPr>
          <w:rFonts w:ascii="Arial" w:eastAsia="Times New Roman" w:hAnsi="Arial" w:cs="Arial"/>
          <w:color w:val="000000"/>
          <w:sz w:val="19"/>
          <w:szCs w:val="19"/>
        </w:rPr>
        <w:t xml:space="preserve"> рисков организации. Методы управления финансовыми рисками. Показатели оценки финансовых рисков.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7. Управление дивидендной политикой организации 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Дивидендная политика и анализ показателей ее эффективности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CEB">
        <w:rPr>
          <w:rFonts w:ascii="Arial" w:eastAsia="Times New Roman" w:hAnsi="Arial" w:cs="Arial"/>
          <w:color w:val="000000"/>
          <w:sz w:val="20"/>
          <w:szCs w:val="20"/>
        </w:rPr>
        <w:t>Дивиденды, прибыль, курс акций — логика взаимосвязи. Виды дивидендной политики предприятия. Факторы, влияющие на дивидендную политику. Анализ и интерпретация финансовых коэффициентов рыночной активности организации. Оценка влияния дивидендной политики на стоимость организации.</w:t>
      </w:r>
    </w:p>
    <w:p w:rsidR="00B21CEB" w:rsidRPr="00B21CEB" w:rsidRDefault="00B21CEB" w:rsidP="00B21CEB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1C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Модели оценки стоимости организации </w:t>
      </w:r>
    </w:p>
    <w:p w:rsidR="00B21CEB" w:rsidRPr="00B21CEB" w:rsidRDefault="00B21CEB" w:rsidP="00B21CE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21CEB">
        <w:rPr>
          <w:rFonts w:ascii="Arial" w:eastAsia="Times New Roman" w:hAnsi="Arial" w:cs="Arial"/>
          <w:color w:val="000000"/>
          <w:sz w:val="20"/>
          <w:szCs w:val="20"/>
        </w:rPr>
        <w:t>Рыночная стоимость организации. Показатель EVA в системе управления организацией. Методы и модели оценки стоимости организации.</w:t>
      </w:r>
    </w:p>
    <w:p w:rsidR="004F6DB3" w:rsidRDefault="004F6DB3" w:rsidP="004F6DB3">
      <w:pPr>
        <w:pStyle w:val="a9"/>
        <w:spacing w:before="60" w:line="100" w:lineRule="atLeast"/>
        <w:ind w:left="0"/>
        <w:jc w:val="center"/>
        <w:rPr>
          <w:bCs/>
          <w:spacing w:val="-2"/>
        </w:rPr>
      </w:pPr>
    </w:p>
    <w:p w:rsidR="004F6DB3" w:rsidRPr="004F6DB3" w:rsidRDefault="004F6DB3" w:rsidP="004F6DB3">
      <w:pPr>
        <w:rPr>
          <w:rFonts w:ascii="Times New Roman" w:hAnsi="Times New Roman" w:cs="Times New Roman"/>
          <w:sz w:val="28"/>
          <w:szCs w:val="28"/>
        </w:rPr>
      </w:pPr>
    </w:p>
    <w:sectPr w:rsidR="004F6DB3" w:rsidRPr="004F6DB3" w:rsidSect="00B21CE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E53"/>
    <w:multiLevelType w:val="hybridMultilevel"/>
    <w:tmpl w:val="9234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241F9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F2CDE"/>
    <w:multiLevelType w:val="hybridMultilevel"/>
    <w:tmpl w:val="E0D6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94401"/>
    <w:multiLevelType w:val="hybridMultilevel"/>
    <w:tmpl w:val="28D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33A"/>
    <w:rsid w:val="00093C9C"/>
    <w:rsid w:val="000E2718"/>
    <w:rsid w:val="00150C5A"/>
    <w:rsid w:val="001E4FA9"/>
    <w:rsid w:val="001F26E8"/>
    <w:rsid w:val="002F0ED1"/>
    <w:rsid w:val="003C319B"/>
    <w:rsid w:val="003E2FB3"/>
    <w:rsid w:val="0041033A"/>
    <w:rsid w:val="00415820"/>
    <w:rsid w:val="004D33DF"/>
    <w:rsid w:val="004F0293"/>
    <w:rsid w:val="004F6DB3"/>
    <w:rsid w:val="00533FF3"/>
    <w:rsid w:val="006653C4"/>
    <w:rsid w:val="00701A0E"/>
    <w:rsid w:val="00744EBE"/>
    <w:rsid w:val="008355EF"/>
    <w:rsid w:val="00A06F1E"/>
    <w:rsid w:val="00A21410"/>
    <w:rsid w:val="00B21CEB"/>
    <w:rsid w:val="00D45114"/>
    <w:rsid w:val="00DC10DF"/>
    <w:rsid w:val="00EB76D7"/>
    <w:rsid w:val="00ED263F"/>
    <w:rsid w:val="00F56ABB"/>
    <w:rsid w:val="00F6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DF"/>
  </w:style>
  <w:style w:type="paragraph" w:styleId="1">
    <w:name w:val="heading 1"/>
    <w:basedOn w:val="a"/>
    <w:link w:val="10"/>
    <w:uiPriority w:val="9"/>
    <w:qFormat/>
    <w:rsid w:val="00B21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1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1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21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F26E8"/>
    <w:rPr>
      <w:color w:val="0000FF"/>
      <w:u w:val="single"/>
    </w:rPr>
  </w:style>
  <w:style w:type="paragraph" w:styleId="31">
    <w:name w:val="Body Text 3"/>
    <w:basedOn w:val="a"/>
    <w:link w:val="32"/>
    <w:rsid w:val="001F26E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kern w:val="72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1F26E8"/>
    <w:rPr>
      <w:rFonts w:ascii="Times New Roman" w:eastAsia="Times New Roman" w:hAnsi="Times New Roman" w:cs="Times New Roman"/>
      <w:b/>
      <w:kern w:val="72"/>
      <w:sz w:val="28"/>
      <w:szCs w:val="28"/>
    </w:rPr>
  </w:style>
  <w:style w:type="paragraph" w:styleId="a8">
    <w:name w:val="List Paragraph"/>
    <w:basedOn w:val="a"/>
    <w:uiPriority w:val="34"/>
    <w:qFormat/>
    <w:rsid w:val="001F26E8"/>
    <w:pPr>
      <w:ind w:left="720"/>
      <w:contextualSpacing/>
    </w:pPr>
  </w:style>
  <w:style w:type="paragraph" w:styleId="a9">
    <w:name w:val="Body Text Indent"/>
    <w:basedOn w:val="a"/>
    <w:link w:val="aa"/>
    <w:rsid w:val="004F6D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F6D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1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1C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1C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21C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tify">
    <w:name w:val="ratify"/>
    <w:basedOn w:val="a"/>
    <w:rsid w:val="00B2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2018-04-23T04:50:00Z</cp:lastPrinted>
  <dcterms:created xsi:type="dcterms:W3CDTF">2018-05-04T07:38:00Z</dcterms:created>
  <dcterms:modified xsi:type="dcterms:W3CDTF">2018-05-04T07:38:00Z</dcterms:modified>
</cp:coreProperties>
</file>